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Договор № НИР ______________ </w:t>
      </w:r>
      <w:r>
        <w:rPr>
          <w:color w:val="000000"/>
          <w:sz w:val="24"/>
          <w:szCs w:val="24"/>
        </w:rPr>
      </w:r>
    </w:p>
    <w:p>
      <w:pPr>
        <w:pStyle w:val="6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оказания научно-исследовательских работ</w:t>
      </w:r>
      <w:r>
        <w:rPr>
          <w:color w:val="000000"/>
          <w:sz w:val="24"/>
          <w:szCs w:val="24"/>
        </w:rPr>
      </w:r>
    </w:p>
    <w:p>
      <w:pPr>
        <w:pStyle w:val="691"/>
        <w:ind w:right="140"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20"/>
        <w:ind w:right="-142" w:firstLine="0"/>
        <w:jc w:val="both"/>
      </w:pPr>
      <w:r>
        <w:rPr>
          <w:sz w:val="24"/>
          <w:szCs w:val="24"/>
        </w:rPr>
        <w:t xml:space="preserve">г. Владикавказ                               </w:t>
        <w:tab/>
        <w:tab/>
        <w:tab/>
        <w:tab/>
        <w:t xml:space="preserve">«___» ___________  202_ года</w:t>
      </w:r>
      <w:r/>
    </w:p>
    <w:p>
      <w:pPr>
        <w:pStyle w:val="620"/>
        <w:ind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6"/>
        <w:ind w:firstLine="567"/>
      </w:pPr>
      <w:r>
        <w:rPr>
          <w:color w:val="000000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(СОГУ), именуемый в дальнейшем </w:t>
      </w:r>
      <w:r>
        <w:rPr>
          <w:b/>
          <w:color w:val="000000"/>
          <w:sz w:val="24"/>
          <w:szCs w:val="24"/>
        </w:rPr>
        <w:t xml:space="preserve">«Исполнитель</w:t>
      </w:r>
      <w:r>
        <w:rPr>
          <w:color w:val="000000"/>
          <w:sz w:val="24"/>
          <w:szCs w:val="24"/>
        </w:rPr>
        <w:t xml:space="preserve">», </w:t>
      </w:r>
      <w:r>
        <w:rPr>
          <w:spacing w:val="-2"/>
          <w:sz w:val="24"/>
          <w:szCs w:val="24"/>
          <w:highlight w:val="none"/>
        </w:rPr>
        <w:t xml:space="preserve">в лице проректора по научной деятельности </w:t>
      </w:r>
      <w:r>
        <w:rPr>
          <w:b/>
          <w:spacing w:val="-2"/>
          <w:sz w:val="24"/>
          <w:szCs w:val="24"/>
          <w:highlight w:val="none"/>
        </w:rPr>
        <w:t xml:space="preserve">Тиникашвили Т.Ш</w:t>
      </w:r>
      <w:r>
        <w:rPr>
          <w:spacing w:val="-2"/>
          <w:sz w:val="24"/>
          <w:szCs w:val="24"/>
          <w:highlight w:val="none"/>
        </w:rPr>
        <w:t xml:space="preserve">., действующего на основании доверенности №122 от 26.07.2022 г.</w:t>
      </w:r>
      <w:r>
        <w:rPr>
          <w:color w:val="000000"/>
          <w:sz w:val="24"/>
          <w:szCs w:val="24"/>
          <w:highlight w:val="none"/>
        </w:rPr>
        <w:t xml:space="preserve">,</w:t>
      </w:r>
      <w:r>
        <w:rPr>
          <w:color w:val="000000"/>
          <w:sz w:val="24"/>
          <w:szCs w:val="24"/>
        </w:rPr>
        <w:t xml:space="preserve"> с одной стороны, и _________________, именуемый в дальнейшем </w:t>
      </w:r>
      <w:r>
        <w:rPr>
          <w:b/>
          <w:color w:val="000000"/>
          <w:sz w:val="24"/>
          <w:szCs w:val="24"/>
        </w:rPr>
        <w:t xml:space="preserve">«Заказчик</w:t>
      </w:r>
      <w:r>
        <w:rPr>
          <w:color w:val="000000"/>
          <w:sz w:val="24"/>
          <w:szCs w:val="24"/>
        </w:rPr>
        <w:t xml:space="preserve">», в лице ___________________, действующего на основании Устава, с другой «</w:t>
      </w:r>
      <w:r>
        <w:rPr>
          <w:b/>
          <w:color w:val="000000"/>
          <w:sz w:val="24"/>
          <w:szCs w:val="24"/>
        </w:rPr>
        <w:t xml:space="preserve">Стороны</w:t>
      </w:r>
      <w:r>
        <w:rPr>
          <w:color w:val="000000"/>
          <w:sz w:val="24"/>
          <w:szCs w:val="24"/>
        </w:rPr>
        <w:t xml:space="preserve">», именуемые в дальнейшем вместе «</w:t>
      </w:r>
      <w:r>
        <w:rPr>
          <w:b/>
          <w:color w:val="000000"/>
          <w:sz w:val="24"/>
          <w:szCs w:val="24"/>
        </w:rPr>
        <w:t xml:space="preserve">Стороны</w:t>
      </w:r>
      <w:r>
        <w:rPr>
          <w:color w:val="000000"/>
          <w:sz w:val="24"/>
          <w:szCs w:val="24"/>
        </w:rPr>
        <w:t xml:space="preserve">», заключили настоящий договор о нижеследующем:</w:t>
      </w:r>
      <w:r/>
    </w:p>
    <w:p>
      <w:pPr>
        <w:pStyle w:val="6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20"/>
        <w:jc w:val="center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Предмет договора</w:t>
      </w:r>
      <w:r>
        <w:rPr>
          <w:b/>
          <w:bCs/>
          <w:sz w:val="24"/>
          <w:szCs w:val="24"/>
        </w:rPr>
      </w:r>
    </w:p>
    <w:p>
      <w:pPr>
        <w:pStyle w:val="620"/>
        <w:ind w:firstLine="540"/>
        <w:jc w:val="both"/>
        <w:tabs>
          <w:tab w:val="left" w:pos="708" w:leader="none"/>
          <w:tab w:val="clear" w:pos="720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1.1. Настоящий Договор регулирует взаимоотношения между Исполнителем и Заказчиком в рамках проведения научно-исследовательских работ по _______________________________________________________________.</w:t>
      </w:r>
      <w:r>
        <w:rPr>
          <w:b/>
          <w:sz w:val="24"/>
          <w:szCs w:val="24"/>
        </w:rPr>
      </w:r>
    </w:p>
    <w:p>
      <w:pPr>
        <w:pStyle w:val="620"/>
        <w:ind w:firstLine="540"/>
        <w:jc w:val="both"/>
        <w:tabs>
          <w:tab w:val="left" w:pos="708" w:leader="none"/>
          <w:tab w:val="clear" w:pos="720" w:leader="none"/>
          <w:tab w:val="left" w:pos="113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1.2. Исполнитель принимает на себя обязательство по выполнению научно-исследовательских работ по заданию Заказчика, который принимает и оплачивает выполненную работу.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4"/>
          <w:szCs w:val="24"/>
        </w:rPr>
        <w:t xml:space="preserve">1.3. Работы, указанные в п. 1.2 Договора, выполняются Исполнителем своими силами и средствами, с использованием</w:t>
      </w:r>
      <w:r>
        <w:rPr>
          <w:rFonts w:eastAsia="Calibri"/>
          <w:sz w:val="24"/>
          <w:szCs w:val="24"/>
          <w:lang w:eastAsia="en-US"/>
        </w:rPr>
        <w:t xml:space="preserve"> информации и материалов, </w:t>
      </w:r>
      <w:r>
        <w:rPr>
          <w:sz w:val="24"/>
          <w:szCs w:val="24"/>
        </w:rPr>
        <w:t xml:space="preserve">предоставляемых безвозмездно Заказчиком Исполнителю для проведения работ.</w:t>
      </w:r>
      <w:r/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1.4. Содержание работ и сроки их выполнения определяются Техническим заданием (Приложение № 1).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1.5. Приемка работ осуществляется в соответствии с Техническим заданием.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jc w:val="center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Предмет договора</w:t>
      </w:r>
      <w:r>
        <w:rPr>
          <w:b/>
          <w:bCs/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2.1. И</w:t>
      </w:r>
      <w:r>
        <w:rPr>
          <w:sz w:val="24"/>
          <w:szCs w:val="24"/>
        </w:rPr>
        <w:t xml:space="preserve">сполнитель вправе под свою ответственность вносить изменения в решение как частных, так и общих технических вопросов, в методику и содержание исследований, если эти изменения не противоречат требованиям, установленным Техническим заданием (Приложение № 1).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2.2. Всякое согласованное с Исполнителем изменение технических требований, вносимое в процессе выпо</w:t>
      </w:r>
      <w:r>
        <w:rPr>
          <w:sz w:val="24"/>
          <w:szCs w:val="24"/>
        </w:rPr>
        <w:t xml:space="preserve">лнения Договора по письменному требованию Заказчика, вызывающее уменьшение или увеличение объема работ, предусмотренных Техническим заданием, и требований, установленных Техническим заданием, оформляется в 30-дневный срок дополнительным соглашением Сторон.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2.3. Доработки, связанные с несогласованными с Заказчиком отступлениями от Технического задания и других требований, установленных в дополнительных соглашениях, ошибками в расчетах и т.п., производятся Исполнителем за свой счет.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2.4. В случае, когда после оплаты работы у Заказчика выявятся дополнительные замечания или претензии, ему предоставляется право заявить их Исполнителю в течение 5 (пяти) дней после вручения Заказчику научно-технического отчета.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Исполнитель обязан по требованию Заказчика произвести необходимые исправления в выполненной работе без дополнительной оплаты при условии, что они не выходят за пределы программ работ и темы. Срок внесения исправлений согласовывается Сторонами.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2.5. Если в процессе выполнения работ Исполнитель выявит нецелесообразно</w:t>
      </w:r>
      <w:r>
        <w:rPr>
          <w:sz w:val="24"/>
          <w:szCs w:val="24"/>
        </w:rPr>
        <w:t xml:space="preserve">сть дальнейшего их проведения, Исполнитель вправе приостановить их, поставив об этом в известность Заказчика в трехдневный срок после приостановления. В этом случае Стороны обязаны в 5-тидневный срок рассмотреть вопрос о целесообразности продолжения работ.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2.6. Заказчик имеет право проверять ход и качество выполнения научно-исследовательской работы, предусмотренной Договором, без вмешательства в оперативно-хозяйственную деятельность Исполнителя.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2.7. Вопрос об использовании (в том числе передаче) Исполнителем результатов работ, выполняемых по настоящему Договору, решается по согласованию с Заказчиком.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2.8. Исполнитель вправе привлекать к участию в выполнении работ, предусмотренных настоящим Договором, третьих лиц при соблюдении условий конфиденциальности.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numPr>
          <w:ilvl w:val="0"/>
          <w:numId w:val="0"/>
        </w:numPr>
        <w:jc w:val="center"/>
        <w:widowControl w:val="off"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  <w:t xml:space="preserve">3. Сроки исполнения</w:t>
      </w:r>
      <w:r>
        <w:rPr>
          <w:b/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3.1. Предусмотренные Договором работы выполняются в сроки, указанные в Техническом задании.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3.2. Исполнитель вправе досрочно сдать выполненные работы в целом и ее отдельные этапы. Заказчик принимает и оплачивает такие работы (этапы работы) в соответствии с условиями Договора.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3.3. Датой исполнения обязательств по Договору в целом и по отдельным этапам считается дата подписания (утверждения) сторонами Акта сдачи-приемки результатов работ.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numPr>
          <w:ilvl w:val="0"/>
          <w:numId w:val="0"/>
        </w:numPr>
        <w:jc w:val="center"/>
        <w:widowControl w:val="off"/>
        <w:outlineLvl w:val="0"/>
      </w:pPr>
      <w:r>
        <w:rPr>
          <w:b/>
          <w:sz w:val="24"/>
        </w:rPr>
        <w:t xml:space="preserve">4. Обязанности Сторон</w:t>
      </w:r>
      <w:r/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4.1. Исполнитель обязан: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4.1.1. 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4.1.2.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4.1.3.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4.1.4. Незамедлительно информировать Заказчика об обнаруженной невозможности получить ожидаемые результаты или о нецелесообразности продолжения работ.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4.1.5. Гарантировать Заказчику передачу полученных по Договору результатов, не нарушающих исключительных прав других лиц.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4.2. Заказчик обязан: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4.2.1. Передавать Исполнителю необходимую для выполнения работ информацию.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4.2.2. Принять результаты выполненных работ и оплатить их.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4.2.3. Выдать Исполнителю Техническое задание и согласовать с ним программу (технико-экономические параметры) или тематику работ.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4.3. Если в ходе научно-исследовательских работ обнаруживается невозможность достижения результатов вследствие обстоятельств, не зависящих </w:t>
      </w:r>
      <w:r>
        <w:rPr>
          <w:sz w:val="24"/>
        </w:rPr>
        <w:t xml:space="preserve">от Исполнителя, Заказчик обязан оплатить стоимость работ, проведенных до выявления невозможности получить предусмотренные Договором на выполнение научно-исследовательских работ результаты, но не свыше соответствующей части цены работ, указанной в Договоре.</w:t>
      </w:r>
      <w:r>
        <w:rPr>
          <w:sz w:val="24"/>
        </w:rPr>
      </w:r>
    </w:p>
    <w:p>
      <w:pPr>
        <w:pStyle w:val="620"/>
        <w:jc w:val="both"/>
        <w:widowControl w:val="off"/>
        <w:rPr>
          <w:sz w:val="24"/>
          <w:szCs w:val="16"/>
        </w:rPr>
      </w:pPr>
      <w:r>
        <w:rPr>
          <w:sz w:val="24"/>
          <w:szCs w:val="16"/>
        </w:rPr>
      </w:r>
      <w:r>
        <w:rPr>
          <w:sz w:val="24"/>
          <w:szCs w:val="16"/>
        </w:rPr>
      </w:r>
    </w:p>
    <w:p>
      <w:pPr>
        <w:pStyle w:val="620"/>
        <w:numPr>
          <w:ilvl w:val="0"/>
          <w:numId w:val="0"/>
        </w:numPr>
        <w:jc w:val="center"/>
        <w:widowControl w:val="off"/>
        <w:rPr>
          <w:sz w:val="24"/>
        </w:rPr>
        <w:outlineLvl w:val="0"/>
      </w:pPr>
      <w:r>
        <w:rPr>
          <w:b/>
          <w:sz w:val="24"/>
        </w:rPr>
        <w:t xml:space="preserve">5. </w:t>
      </w:r>
      <w:r>
        <w:rPr>
          <w:b/>
          <w:bCs/>
          <w:sz w:val="24"/>
        </w:rPr>
        <w:t xml:space="preserve">Порядок сдачи-приемки работ и ответственность сторон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5.1. Приемка и оценка работ осуществляются Заказчиком в соответствии с требованиями Технического задания.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5.2. Приемка работ производится Заказчиком по мере представления их Исполнителем, но не позднее срока окончания Договора. Результаты приемки, сдачи работ оформляются двусторонним Актом сдачи-приемки результатов этапов работ.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5.3. Перечень научной, технической и другой документации, подлежащей сдаче Исполнителем Заказчику, определен Техническим заданием.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5.4. Заказчик в течение пяти календарных дней со дня получения Акта сдачи-приемки результатов работ и отчетных документов обязан направить Исполнителю подп</w:t>
      </w:r>
      <w:r>
        <w:rPr>
          <w:sz w:val="24"/>
        </w:rPr>
        <w:t xml:space="preserve">исанный Акт сдачи-приемки результатов работ или мотивированный отказ от приемки работ. В случае если в положенный срок Исполнитель не получает от Заказчика подписанный им Акт или мотивированный отказ от приемки работ, работы считаются принятыми Заказчиком.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</w:pPr>
      <w:r>
        <w:rPr>
          <w:sz w:val="24"/>
        </w:rPr>
        <w:t xml:space="preserve">5.5. 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  <w:r/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5.6.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5.7. Исполнитель несет ответственность перед Заказчиком за нарушение Договора если не докажет, что такое нарушение произошло не по его вине.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20"/>
        <w:jc w:val="center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sz w:val="24"/>
        </w:rPr>
        <w:t xml:space="preserve">6. </w:t>
      </w:r>
      <w:r>
        <w:rPr>
          <w:b/>
          <w:bCs/>
          <w:sz w:val="24"/>
        </w:rPr>
        <w:t xml:space="preserve">Стоимость работ и порядок расчетов</w:t>
      </w:r>
      <w:r>
        <w:rPr>
          <w:b/>
          <w:bCs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4"/>
          <w:szCs w:val="24"/>
        </w:rPr>
        <w:t xml:space="preserve">6.1. Стоимость выполненных работ по Договору составляет __________________ (________________) руб. без НДС.</w:t>
      </w:r>
      <w:r/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6.2. Оплата по настоящему Договору производится в следующем порядке: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4"/>
          <w:szCs w:val="24"/>
        </w:rPr>
        <w:t xml:space="preserve">- аванс в размере _____________ (_____________) руб. в течение 5 (пяти) дней с момента подписания настоящего Договора;</w:t>
      </w:r>
      <w:r/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4"/>
          <w:szCs w:val="24"/>
        </w:rPr>
        <w:t xml:space="preserve">- оставшиеся ____________ (____________) руб.  в течение 10 (десяти) дней с момента подписания Акта сдачи-приемки результатов работ на основании выставленного счёта на оплату.</w:t>
      </w:r>
      <w:r/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6.3. Финансирование работы осуществляется из средств Заказчика.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20"/>
        <w:jc w:val="center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7. Рассмотрение споров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7.1.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7.2. В случае если Стороны не придут к соглашению, споры разрешаются в Арбитражном суде РСО-Алания в соответствии с действующим законодательством Российской Федерации.</w:t>
      </w:r>
      <w:r>
        <w:rPr>
          <w:sz w:val="24"/>
          <w:szCs w:val="24"/>
        </w:rPr>
      </w:r>
    </w:p>
    <w:p>
      <w:pPr>
        <w:pStyle w:val="620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20"/>
        <w:numPr>
          <w:ilvl w:val="0"/>
          <w:numId w:val="0"/>
        </w:numPr>
        <w:jc w:val="center"/>
        <w:widowControl w:val="off"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  <w:t xml:space="preserve">8. Срок действия Договора</w:t>
      </w:r>
      <w:r>
        <w:rPr>
          <w:b/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/>
      <w:bookmarkStart w:id="0" w:name="P109"/>
      <w:r/>
      <w:bookmarkEnd w:id="0"/>
      <w:r>
        <w:rPr>
          <w:sz w:val="24"/>
          <w:szCs w:val="24"/>
        </w:rPr>
        <w:t xml:space="preserve">8.1. Настоящий Договор вступает в силу с момента его подписания и действует до полного исполнения Сторонами своих обязательств.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20"/>
        <w:jc w:val="center"/>
        <w:spacing w:before="40" w:after="0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Конфиденциальность</w:t>
      </w:r>
      <w:r>
        <w:rPr>
          <w:b/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9.1. Стороны договорились считать конфиденциальной информацию о содержании исследования, его результатах и потенциальных потребителях.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tabs>
          <w:tab w:val="clear" w:pos="720" w:leader="none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9.2. Исполнитель обязуется в строгом порядке соблюдать конфиденциальность при работе с любой информацией, полученной от Заказчика или третьих лиц, в связи с выполнением работ по настоящему Договору.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9.3. В любом случае разглашение конфиденциальной информации в процессе выполнения Договора и в течение трех месяцев после его окончания должно производиться только по взаимному согласию Сторон.</w:t>
      </w:r>
      <w:r>
        <w:rPr>
          <w:sz w:val="24"/>
          <w:szCs w:val="24"/>
        </w:rPr>
      </w:r>
    </w:p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numPr>
          <w:ilvl w:val="0"/>
          <w:numId w:val="0"/>
        </w:numPr>
        <w:jc w:val="center"/>
        <w:widowControl w:val="off"/>
        <w:rPr>
          <w:b/>
          <w:sz w:val="24"/>
        </w:rPr>
        <w:outlineLvl w:val="0"/>
      </w:pPr>
      <w:r>
        <w:rPr>
          <w:b/>
          <w:sz w:val="24"/>
        </w:rPr>
        <w:t xml:space="preserve">10. Права на результаты работ</w:t>
      </w:r>
      <w:r>
        <w:rPr>
          <w:b/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10.1. После исполнения Сторонами обязательств, вытекающих из настоящего Договора, права на использование результатов работ принадлежат Заказчику.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10.2. Исполнитель вправе по согласованию с Заказчиком использовать результаты работ по настоящему Договору для собственных нужд, в том числе в собственной научной, коммерческой и иной деятельности.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10.3. Информация и материалы, предоставляемые Заказчиком и сопровождающие выполнение работ по Договору, а также результаты работ являются собственностью Заказчика.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10.4. Авторские права на методики и другие инструменты выполнения работ по настоящему Договору принадлежат Заказчику. Исполнитель не вправе их использовать или передавать третьим лицам без согласования с Заказчиком.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18"/>
          <w:szCs w:val="16"/>
        </w:rPr>
      </w:pPr>
      <w:r>
        <w:rPr>
          <w:sz w:val="18"/>
          <w:szCs w:val="16"/>
        </w:rPr>
      </w:r>
      <w:r>
        <w:rPr>
          <w:sz w:val="18"/>
          <w:szCs w:val="16"/>
        </w:rPr>
      </w:r>
    </w:p>
    <w:p>
      <w:pPr>
        <w:pStyle w:val="620"/>
        <w:numPr>
          <w:ilvl w:val="0"/>
          <w:numId w:val="0"/>
        </w:numPr>
        <w:jc w:val="center"/>
        <w:widowControl w:val="off"/>
        <w:rPr>
          <w:b/>
          <w:sz w:val="24"/>
        </w:rPr>
        <w:outlineLvl w:val="0"/>
      </w:pPr>
      <w:r>
        <w:rPr>
          <w:b/>
          <w:sz w:val="24"/>
        </w:rPr>
        <w:t xml:space="preserve">11. Дополнительные условия</w:t>
      </w:r>
      <w:r>
        <w:rPr>
          <w:b/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11.1. Условия соблюдения прав Сторон на создаваемую (передаваемую) интеллектуальную продукцию: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а) неимущественные авторские права на создаваемую в процессе выполнения Договора интеллектуальную продукцию принадлежат Заказчику;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б) передача, расп</w:t>
      </w:r>
      <w:r>
        <w:rPr>
          <w:sz w:val="24"/>
        </w:rPr>
        <w:t xml:space="preserve">ространение (продажа) интеллектуальной продукции, произведенной в рамках выполнения данного Договора, не допустима без согласия Заказчика. В случае нарушения данного пункта виновная Сторона выплачивает Заказчику штраф в размере трехкратной договорной цены.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11.2. Стороны обязуются назначить ответственных за координацию и выполнение Договора со своей стороны для решения организационных вопросов.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</w:pPr>
      <w:r>
        <w:rPr>
          <w:sz w:val="24"/>
        </w:rPr>
        <w:t xml:space="preserve">Со стороны Заказчика: Касумов Юрий Надирович, тел.: 89064945490.</w:t>
      </w:r>
      <w:r/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Со стороны Исполнителя: ______________________________, тел.: _____________.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11.3. По всем вопросам, не урегулированным настоящим Договором, Стороны руководствуются действующим законодательством Российской Федерации.</w:t>
      </w:r>
      <w:r>
        <w:rPr>
          <w:sz w:val="24"/>
        </w:rPr>
      </w:r>
    </w:p>
    <w:p>
      <w:pPr>
        <w:pStyle w:val="620"/>
        <w:ind w:firstLine="539"/>
        <w:jc w:val="both"/>
        <w:widowControl w:val="off"/>
        <w:rPr>
          <w:sz w:val="24"/>
        </w:rPr>
      </w:pPr>
      <w:r>
        <w:rPr>
          <w:sz w:val="24"/>
        </w:rPr>
        <w:t xml:space="preserve">11.4. Настоящий Договор составлен в двух подлинных и идентичных экземплярах, имеющих равную юридическую силу, по одному для каждой из Сторон.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11.5. Приложения, составляющие неотъемлемую и составную часть Договора: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- приложение № 1 - Техническое задание;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24"/>
        </w:rPr>
      </w:pPr>
      <w:r>
        <w:rPr>
          <w:sz w:val="24"/>
        </w:rPr>
        <w:t xml:space="preserve">- приложение № 2 - Акт сдачи-приемки научно-исследовательских работ.</w:t>
      </w:r>
      <w:r>
        <w:rPr>
          <w:sz w:val="24"/>
        </w:rPr>
      </w:r>
    </w:p>
    <w:p>
      <w:pPr>
        <w:pStyle w:val="620"/>
        <w:ind w:firstLine="540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20"/>
        <w:jc w:val="center"/>
        <w:spacing w:before="48" w:after="0"/>
        <w:shd w:val="clear" w:color="auto" w:fill="ffffff"/>
        <w:widowControl w:val="off"/>
      </w:pPr>
      <w:r>
        <w:t xml:space="preserve">12. Юридические адреса, реквизиты и подписи Сторон:</w:t>
      </w:r>
      <w:r/>
    </w:p>
    <w:tbl>
      <w:tblPr>
        <w:tblW w:w="9606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678"/>
      </w:tblGrid>
      <w:tr>
        <w:tblPrEx/>
        <w:trPr>
          <w:cantSplit/>
          <w:trHeight w:val="4469"/>
        </w:trPr>
        <w:tc>
          <w:tcPr>
            <w:tcW w:w="4928" w:type="dxa"/>
            <w:textDirection w:val="lrTb"/>
            <w:noWrap w:val="false"/>
          </w:tcPr>
          <w:tbl>
            <w:tblPr>
              <w:tblW w:w="4785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</w:tblGrid>
            <w:tr>
              <w:tblPrEx/>
              <w:trPr/>
              <w:tc>
                <w:tcPr>
                  <w:tcW w:w="4785" w:type="dxa"/>
                  <w:textDirection w:val="lrTb"/>
                  <w:noWrap w:val="false"/>
                </w:tcPr>
                <w:p>
                  <w:pPr>
                    <w:pStyle w:val="6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Исполнитель:</w:t>
                  </w:r>
                  <w:r>
                    <w:rPr>
                      <w:b/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  <w:r>
                    <w:rPr>
                      <w:b/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ФГБОУ ВО «СОГУ»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Адрес: 362025, РСО-Алания, 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г. Владикавказ, ул. Ватутина, 44-46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ИНН 1502009030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КПП 151301001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tcW w:w="4785" w:type="dxa"/>
                  <w:textDirection w:val="lrTb"/>
                  <w:noWrap w:val="false"/>
                </w:tcPr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Реквизиты банка: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УФК по РСО-Алания (СОГУ)                                           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blPrEx/>
              <w:trPr/>
              <w:tc>
                <w:tcPr>
                  <w:tcW w:w="4785" w:type="dxa"/>
                  <w:textDirection w:val="lrTb"/>
                  <w:noWrap w:val="false"/>
                </w:tcPr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л/с 20106Х27720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р/с 40501810590332000003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ОТДЕЛЕНИЕ–НБ РСО-А г. Владикавказа</w:t>
                  </w: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6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БИК 049033001</w:t>
                  </w: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научной деятельности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20"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___________________ /Т.Ш. Тиникашвили/</w:t>
            </w:r>
            <w:r/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МП</w:t>
            </w:r>
            <w:r>
              <w:rPr>
                <w:sz w:val="22"/>
                <w:szCs w:val="22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6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Заказчик:</w:t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6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620"/>
              <w:jc w:val="center"/>
              <w:tabs>
                <w:tab w:val="left" w:pos="360" w:leader="none"/>
                <w:tab w:val="clear" w:pos="720" w:leader="none"/>
              </w:tabs>
              <w:rPr>
                <w:bCs/>
                <w:i/>
              </w:rPr>
            </w:pPr>
            <w:r>
              <w:rPr>
                <w:sz w:val="22"/>
                <w:szCs w:val="22"/>
              </w:rPr>
              <w:t xml:space="preserve">_______ </w:t>
            </w:r>
            <w:r>
              <w:rPr>
                <w:bCs/>
                <w:i/>
              </w:rPr>
              <w:t xml:space="preserve">(наименование для юр. лиц, ФИО для физ. лиц,наименование или ФИО для инд. предпр-лей)</w:t>
            </w:r>
            <w:r>
              <w:rPr>
                <w:bCs/>
                <w:i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________________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_________________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__________________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________________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__________________</w:t>
              <w:br/>
              <w:t xml:space="preserve">в _________________ </w:t>
            </w:r>
            <w:r>
              <w:rPr>
                <w:i/>
                <w:sz w:val="22"/>
                <w:szCs w:val="22"/>
              </w:rPr>
              <w:t xml:space="preserve">(указать банк)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к\с ___________________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__________________</w:t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(должность для юр. лиц)</w:t>
            </w:r>
            <w:r>
              <w:rPr>
                <w:i/>
                <w:sz w:val="22"/>
                <w:szCs w:val="22"/>
              </w:rPr>
            </w:r>
          </w:p>
          <w:p>
            <w:pPr>
              <w:pStyle w:val="6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20"/>
            </w:pPr>
            <w:r>
              <w:rPr>
                <w:sz w:val="22"/>
                <w:szCs w:val="22"/>
              </w:rPr>
              <w:t xml:space="preserve">__________________ /__________/</w:t>
            </w:r>
            <w:r/>
          </w:p>
          <w:p>
            <w:pPr>
              <w:pStyle w:val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</w:t>
            </w:r>
            <w:r>
              <w:rPr>
                <w:sz w:val="22"/>
                <w:szCs w:val="22"/>
              </w:rPr>
            </w:r>
          </w:p>
        </w:tc>
      </w:tr>
    </w:tbl>
    <w:p>
      <w:pPr>
        <w:pStyle w:val="620"/>
        <w:ind w:firstLine="540"/>
        <w:jc w:val="both"/>
        <w:tabs>
          <w:tab w:val="clear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br w:type="page" w:clear="all"/>
      </w:r>
      <w:r>
        <w:rPr>
          <w:sz w:val="24"/>
          <w:szCs w:val="24"/>
        </w:rPr>
      </w:r>
    </w:p>
    <w:p>
      <w:pPr>
        <w:pStyle w:val="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</w:t>
      </w:r>
      <w:r>
        <w:rPr>
          <w:sz w:val="24"/>
          <w:szCs w:val="24"/>
        </w:rPr>
      </w:r>
    </w:p>
    <w:p>
      <w:pPr>
        <w:pStyle w:val="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№ НИР_______</w:t>
      </w:r>
      <w:r>
        <w:rPr>
          <w:sz w:val="24"/>
          <w:szCs w:val="24"/>
        </w:rPr>
      </w:r>
    </w:p>
    <w:p>
      <w:pPr>
        <w:pStyle w:val="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«__» ___________20__ г.</w:t>
      </w:r>
      <w:r>
        <w:rPr>
          <w:sz w:val="24"/>
          <w:szCs w:val="24"/>
        </w:rPr>
      </w:r>
    </w:p>
    <w:p>
      <w:pPr>
        <w:pStyle w:val="620"/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</w:t>
      </w:r>
      <w:r>
        <w:rPr>
          <w:b/>
          <w:sz w:val="24"/>
          <w:szCs w:val="24"/>
        </w:rPr>
      </w:r>
    </w:p>
    <w:p>
      <w:pPr>
        <w:pStyle w:val="6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9747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747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Наименование работ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ЦЕЛЬ И ЗАДАЧИ ИССЛЕДОВАНИЯ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2.1. Цель и задачи исследования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 задачи исследования: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2.2. Стадийность </w:t>
            </w:r>
            <w:r>
              <w:rPr>
                <w:i/>
                <w:sz w:val="24"/>
                <w:szCs w:val="24"/>
              </w:rPr>
              <w:t xml:space="preserve">(этапы)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выполняется в ___этапов.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выполнения работ: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ОПИСАНИЕ ИССЛЕДОВАНИЯ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проводится на территории Исполнителя с использованием оборудования, программного обеспечения Исполнителя.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исследования: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пробоводготовка…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качественное определение…</w:t>
            </w: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….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4. ИСХОДНЫЕ ДАННЫЕ ДЛЯ ВЫПОЛНЕНИЯ ИССЛЕДОВАНИЯ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Образцы, необходимые для выполнения исследования будут переданы Исполнителю после подписания договора.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ТРЕБОВАНИЯ К ТЕХНИЧЕСКИМ РЕЗУЛЬТАТАМ ИССЛЕДОВАНИЙ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Подраздел 5.1. Основные требования к выполнению работ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 итогам выполнения исследований Исполнитель обязан предоставить Заказчику Отчет о выполнении исследований в 2 (двух) экземплярах, в том числе и в электронном виде.</w:t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4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результате исследований: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будет определен качественный состав…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будут выполнены расчеты концентраций…</w:t>
            </w:r>
            <w:r/>
          </w:p>
        </w:tc>
      </w:tr>
    </w:tbl>
    <w:p>
      <w:pPr>
        <w:pStyle w:val="6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7763" w:type="dxa"/>
        <w:tblInd w:w="28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3686"/>
      </w:tblGrid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«СОГУ»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W w:w="4077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научной деятельности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/Т.Ш. Тиникашвили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</w:t>
            </w: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/ __________/</w:t>
            </w:r>
            <w:r>
              <w:rPr>
                <w:sz w:val="24"/>
                <w:szCs w:val="24"/>
              </w:rPr>
            </w:r>
          </w:p>
          <w:p>
            <w:pPr>
              <w:pStyle w:val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20"/>
        <w:jc w:val="both"/>
        <w:rPr>
          <w:sz w:val="23"/>
          <w:szCs w:val="23"/>
        </w:rPr>
      </w:pPr>
      <w:r>
        <w:rPr>
          <w:sz w:val="23"/>
          <w:szCs w:val="23"/>
        </w:rPr>
      </w:r>
      <w:r>
        <w:rPr>
          <w:sz w:val="23"/>
          <w:szCs w:val="23"/>
        </w:rPr>
      </w:r>
    </w:p>
    <w:sectPr>
      <w:footnotePr/>
      <w:endnotePr/>
      <w:type w:val="nextPage"/>
      <w:pgSz w:w="11906" w:h="16838" w:orient="portrait"/>
      <w:pgMar w:top="709" w:right="707" w:bottom="709" w:left="156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MS Mincho;ＭＳ 明朝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2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0"/>
    <w:next w:val="62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94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0"/>
    <w:next w:val="6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0"/>
    <w:next w:val="6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0"/>
    <w:next w:val="6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0"/>
    <w:next w:val="6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0"/>
    <w:next w:val="6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0"/>
    <w:next w:val="6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0"/>
    <w:next w:val="6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0"/>
    <w:next w:val="6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0"/>
    <w:next w:val="620"/>
    <w:uiPriority w:val="99"/>
    <w:unhideWhenUsed/>
    <w:pPr>
      <w:spacing w:after="0" w:afterAutospacing="0"/>
    </w:pPr>
  </w:style>
  <w:style w:type="paragraph" w:styleId="620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21">
    <w:name w:val="Heading 1"/>
    <w:basedOn w:val="620"/>
    <w:next w:val="620"/>
    <w:qFormat/>
    <w:pPr>
      <w:numPr>
        <w:ilvl w:val="0"/>
        <w:numId w:val="1"/>
      </w:numPr>
      <w:keepNext/>
      <w:outlineLvl w:val="0"/>
    </w:pPr>
    <w:rPr>
      <w:color w:val="000000"/>
      <w:sz w:val="24"/>
    </w:rPr>
  </w:style>
  <w:style w:type="paragraph" w:styleId="622">
    <w:name w:val="Heading 2"/>
    <w:basedOn w:val="620"/>
    <w:next w:val="620"/>
    <w:qFormat/>
    <w:pPr>
      <w:numPr>
        <w:ilvl w:val="1"/>
        <w:numId w:val="1"/>
      </w:numPr>
      <w:keepNext/>
      <w:outlineLvl w:val="1"/>
    </w:pPr>
    <w:rPr>
      <w:b/>
      <w:sz w:val="22"/>
    </w:rPr>
  </w:style>
  <w:style w:type="paragraph" w:styleId="623">
    <w:name w:val="Heading 6"/>
    <w:basedOn w:val="620"/>
    <w:next w:val="62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624">
    <w:name w:val="WW8Num1z0"/>
    <w:qFormat/>
  </w:style>
  <w:style w:type="character" w:styleId="625">
    <w:name w:val="WW8Num2z0"/>
    <w:qFormat/>
    <w:rPr>
      <w:rFonts w:ascii="Times New Roman" w:hAnsi="Times New Roman" w:eastAsia="MS Mincho;ＭＳ 明朝" w:cs="Times New Roman"/>
    </w:rPr>
  </w:style>
  <w:style w:type="character" w:styleId="626">
    <w:name w:val="WW8Num2z1"/>
    <w:qFormat/>
    <w:rPr>
      <w:rFonts w:ascii="Courier New" w:hAnsi="Courier New" w:cs="Courier New"/>
    </w:rPr>
  </w:style>
  <w:style w:type="character" w:styleId="627">
    <w:name w:val="WW8Num2z2"/>
    <w:qFormat/>
    <w:rPr>
      <w:rFonts w:ascii="Wingdings" w:hAnsi="Wingdings" w:cs="Wingdings"/>
    </w:rPr>
  </w:style>
  <w:style w:type="character" w:styleId="628">
    <w:name w:val="WW8Num2z3"/>
    <w:qFormat/>
    <w:rPr>
      <w:rFonts w:ascii="Symbol" w:hAnsi="Symbol" w:cs="Symbol"/>
    </w:rPr>
  </w:style>
  <w:style w:type="character" w:styleId="629">
    <w:name w:val="WW8Num3z0"/>
    <w:qFormat/>
  </w:style>
  <w:style w:type="character" w:styleId="630">
    <w:name w:val="WW8Num4z0"/>
    <w:qFormat/>
  </w:style>
  <w:style w:type="character" w:styleId="631">
    <w:name w:val="WW8Num5z0"/>
    <w:qFormat/>
  </w:style>
  <w:style w:type="character" w:styleId="632">
    <w:name w:val="WW8Num6z0"/>
    <w:qFormat/>
  </w:style>
  <w:style w:type="character" w:styleId="633">
    <w:name w:val="WW8Num7z0"/>
    <w:qFormat/>
  </w:style>
  <w:style w:type="character" w:styleId="634">
    <w:name w:val="WW8Num8z0"/>
    <w:qFormat/>
  </w:style>
  <w:style w:type="character" w:styleId="635">
    <w:name w:val="WW8Num9z0"/>
    <w:qFormat/>
    <w:rPr>
      <w:rFonts w:ascii="Wingdings" w:hAnsi="Wingdings" w:cs="Wingdings"/>
    </w:rPr>
  </w:style>
  <w:style w:type="character" w:styleId="636">
    <w:name w:val="WW8Num9z1"/>
    <w:qFormat/>
    <w:rPr>
      <w:rFonts w:ascii="Courier New" w:hAnsi="Courier New" w:cs="Courier New"/>
    </w:rPr>
  </w:style>
  <w:style w:type="character" w:styleId="637">
    <w:name w:val="WW8Num9z3"/>
    <w:qFormat/>
    <w:rPr>
      <w:rFonts w:ascii="Symbol" w:hAnsi="Symbol" w:cs="Symbol"/>
    </w:rPr>
  </w:style>
  <w:style w:type="character" w:styleId="638">
    <w:name w:val="WW8Num10z0"/>
    <w:qFormat/>
  </w:style>
  <w:style w:type="character" w:styleId="639">
    <w:name w:val="WW8Num11z0"/>
    <w:qFormat/>
  </w:style>
  <w:style w:type="character" w:styleId="640">
    <w:name w:val="WW8Num12z0"/>
    <w:qFormat/>
  </w:style>
  <w:style w:type="character" w:styleId="641">
    <w:name w:val="WW8Num13z0"/>
    <w:qFormat/>
  </w:style>
  <w:style w:type="character" w:styleId="642">
    <w:name w:val="WW8Num14z0"/>
    <w:qFormat/>
  </w:style>
  <w:style w:type="character" w:styleId="643">
    <w:name w:val="WW8Num15z0"/>
    <w:qFormat/>
  </w:style>
  <w:style w:type="character" w:styleId="644">
    <w:name w:val="WW8Num16z0"/>
    <w:qFormat/>
  </w:style>
  <w:style w:type="character" w:styleId="645">
    <w:name w:val="WW8Num17z0"/>
    <w:qFormat/>
  </w:style>
  <w:style w:type="character" w:styleId="646">
    <w:name w:val="WW8Num18z0"/>
    <w:qFormat/>
  </w:style>
  <w:style w:type="character" w:styleId="647">
    <w:name w:val="WW8Num19z0"/>
    <w:qFormat/>
  </w:style>
  <w:style w:type="character" w:styleId="648">
    <w:name w:val="WW8Num20z0"/>
    <w:qFormat/>
    <w:rPr>
      <w:b w:val="0"/>
    </w:rPr>
  </w:style>
  <w:style w:type="character" w:styleId="649">
    <w:name w:val="WW8Num21z0"/>
    <w:qFormat/>
  </w:style>
  <w:style w:type="character" w:styleId="650">
    <w:name w:val="WW8Num22z0"/>
    <w:qFormat/>
  </w:style>
  <w:style w:type="character" w:styleId="651">
    <w:name w:val="WW8Num23z0"/>
    <w:qFormat/>
  </w:style>
  <w:style w:type="character" w:styleId="652">
    <w:name w:val="WW8Num24z0"/>
    <w:qFormat/>
    <w:rPr>
      <w:rFonts w:ascii="Symbol" w:hAnsi="Symbol" w:cs="Symbol"/>
    </w:rPr>
  </w:style>
  <w:style w:type="character" w:styleId="653">
    <w:name w:val="WW8Num24z1"/>
    <w:qFormat/>
    <w:rPr>
      <w:rFonts w:ascii="Courier New" w:hAnsi="Courier New" w:cs="Courier New"/>
    </w:rPr>
  </w:style>
  <w:style w:type="character" w:styleId="654">
    <w:name w:val="WW8Num24z2"/>
    <w:qFormat/>
    <w:rPr>
      <w:rFonts w:ascii="Wingdings" w:hAnsi="Wingdings" w:cs="Wingdings"/>
    </w:rPr>
  </w:style>
  <w:style w:type="character" w:styleId="655">
    <w:name w:val="WW8Num25z0"/>
    <w:qFormat/>
  </w:style>
  <w:style w:type="character" w:styleId="656">
    <w:name w:val="WW8Num26z0"/>
    <w:qFormat/>
    <w:rPr>
      <w:rFonts w:ascii="Times New Roman" w:hAnsi="Times New Roman" w:cs="Times New Roman"/>
      <w:color w:val="000000"/>
    </w:rPr>
  </w:style>
  <w:style w:type="character" w:styleId="657">
    <w:name w:val="WW8Num27z0"/>
    <w:qFormat/>
  </w:style>
  <w:style w:type="character" w:styleId="658">
    <w:name w:val="WW8Num28z0"/>
    <w:qFormat/>
  </w:style>
  <w:style w:type="character" w:styleId="659">
    <w:name w:val="WW8Num29z0"/>
    <w:qFormat/>
    <w:rPr>
      <w:rFonts w:ascii="Symbol" w:hAnsi="Symbol" w:cs="Symbol"/>
    </w:rPr>
  </w:style>
  <w:style w:type="character" w:styleId="660">
    <w:name w:val="WW8Num30z1"/>
    <w:qFormat/>
    <w:rPr>
      <w:b/>
      <w:i/>
    </w:rPr>
  </w:style>
  <w:style w:type="character" w:styleId="661">
    <w:name w:val="WW8Num30z2"/>
    <w:qFormat/>
  </w:style>
  <w:style w:type="character" w:styleId="662">
    <w:name w:val="WW8Num31z0"/>
    <w:qFormat/>
    <w:rPr>
      <w:rFonts w:ascii="Times New Roman" w:hAnsi="Times New Roman" w:cs="Times New Roman"/>
      <w:color w:val="000000"/>
    </w:rPr>
  </w:style>
  <w:style w:type="character" w:styleId="663">
    <w:name w:val="WW8Num32z0"/>
    <w:qFormat/>
  </w:style>
  <w:style w:type="character" w:styleId="664">
    <w:name w:val="WW8Num33z0"/>
    <w:qFormat/>
  </w:style>
  <w:style w:type="character" w:styleId="665">
    <w:name w:val="WW8Num34z0"/>
    <w:qFormat/>
  </w:style>
  <w:style w:type="character" w:styleId="666">
    <w:name w:val="WW8Num35z0"/>
    <w:qFormat/>
  </w:style>
  <w:style w:type="character" w:styleId="667">
    <w:name w:val="WW8Num36z0"/>
    <w:qFormat/>
  </w:style>
  <w:style w:type="character" w:styleId="668">
    <w:name w:val="WW8Num37z0"/>
    <w:qFormat/>
  </w:style>
  <w:style w:type="character" w:styleId="669">
    <w:name w:val="WW8Num38z0"/>
    <w:qFormat/>
    <w:rPr>
      <w:rFonts w:ascii="Times New Roman" w:hAnsi="Times New Roman" w:cs="Times New Roman"/>
      <w:color w:val="000000"/>
    </w:rPr>
  </w:style>
  <w:style w:type="character" w:styleId="670">
    <w:name w:val="WW8Num39z0"/>
    <w:qFormat/>
    <w:rPr>
      <w:rFonts w:ascii="Symbol" w:hAnsi="Symbol" w:cs="Symbol"/>
    </w:rPr>
  </w:style>
  <w:style w:type="character" w:styleId="671">
    <w:name w:val="WW8Num40z0"/>
    <w:qFormat/>
  </w:style>
  <w:style w:type="character" w:styleId="672">
    <w:name w:val="WW8Num40z1"/>
    <w:qFormat/>
    <w:rPr>
      <w:sz w:val="24"/>
      <w:szCs w:val="24"/>
    </w:rPr>
  </w:style>
  <w:style w:type="character" w:styleId="673">
    <w:name w:val="WW8Num41z0"/>
    <w:qFormat/>
  </w:style>
  <w:style w:type="character" w:styleId="674">
    <w:name w:val="WW8Num42z0"/>
    <w:qFormat/>
  </w:style>
  <w:style w:type="character" w:styleId="675">
    <w:name w:val="WW8Num43z0"/>
    <w:qFormat/>
  </w:style>
  <w:style w:type="character" w:styleId="676">
    <w:name w:val="WW8Num44z0"/>
    <w:qFormat/>
    <w:rPr>
      <w:rFonts w:ascii="Times New Roman" w:hAnsi="Times New Roman" w:eastAsia="Times New Roman" w:cs="Times New Roman"/>
    </w:rPr>
  </w:style>
  <w:style w:type="character" w:styleId="677">
    <w:name w:val="WW8Num44z1"/>
    <w:qFormat/>
    <w:rPr>
      <w:rFonts w:ascii="Times New Roman" w:hAnsi="Times New Roman" w:cs="Times New Roman"/>
    </w:rPr>
  </w:style>
  <w:style w:type="character" w:styleId="678">
    <w:name w:val="WW8Num44z2"/>
    <w:qFormat/>
    <w:rPr>
      <w:rFonts w:ascii="Wingdings" w:hAnsi="Wingdings" w:cs="Wingdings"/>
    </w:rPr>
  </w:style>
  <w:style w:type="character" w:styleId="679">
    <w:name w:val="WW8Num44z3"/>
    <w:qFormat/>
    <w:rPr>
      <w:rFonts w:ascii="Symbol" w:hAnsi="Symbol" w:cs="Symbol"/>
    </w:rPr>
  </w:style>
  <w:style w:type="character" w:styleId="680">
    <w:name w:val="WW8Num44z4"/>
    <w:qFormat/>
    <w:rPr>
      <w:rFonts w:ascii="Courier New" w:hAnsi="Courier New" w:cs="Courier New"/>
    </w:rPr>
  </w:style>
  <w:style w:type="character" w:styleId="681">
    <w:name w:val="WW8Num45z0"/>
    <w:qFormat/>
  </w:style>
  <w:style w:type="character" w:styleId="682">
    <w:name w:val="WW8Num46z0"/>
    <w:qFormat/>
    <w:rPr>
      <w:rFonts w:ascii="Times New Roman" w:hAnsi="Times New Roman" w:eastAsia="MS Mincho;ＭＳ 明朝" w:cs="Times New Roman"/>
    </w:rPr>
  </w:style>
  <w:style w:type="character" w:styleId="683">
    <w:name w:val="WW8Num46z1"/>
    <w:qFormat/>
    <w:rPr>
      <w:rFonts w:ascii="Courier New" w:hAnsi="Courier New" w:cs="Courier New"/>
    </w:rPr>
  </w:style>
  <w:style w:type="character" w:styleId="684">
    <w:name w:val="WW8Num46z2"/>
    <w:qFormat/>
    <w:rPr>
      <w:rFonts w:ascii="Wingdings" w:hAnsi="Wingdings" w:cs="Wingdings"/>
    </w:rPr>
  </w:style>
  <w:style w:type="character" w:styleId="685">
    <w:name w:val="WW8Num46z3"/>
    <w:qFormat/>
    <w:rPr>
      <w:rFonts w:ascii="Symbol" w:hAnsi="Symbol" w:cs="Symbol"/>
    </w:rPr>
  </w:style>
  <w:style w:type="character" w:styleId="686">
    <w:name w:val="WW8Num47z0"/>
    <w:qFormat/>
  </w:style>
  <w:style w:type="character" w:styleId="687">
    <w:name w:val="WW8Num48z0"/>
    <w:qFormat/>
  </w:style>
  <w:style w:type="character" w:styleId="688">
    <w:name w:val="WW8Num49z0"/>
    <w:qFormat/>
  </w:style>
  <w:style w:type="character" w:styleId="689">
    <w:name w:val="WW8Num50z0"/>
    <w:qFormat/>
  </w:style>
  <w:style w:type="character" w:styleId="690">
    <w:name w:val="Основной шрифт абзаца"/>
    <w:qFormat/>
  </w:style>
  <w:style w:type="paragraph" w:styleId="691">
    <w:name w:val="Heading"/>
    <w:basedOn w:val="620"/>
    <w:next w:val="692"/>
    <w:qFormat/>
    <w:pPr>
      <w:ind w:right="140" w:firstLine="0"/>
      <w:jc w:val="center"/>
    </w:pPr>
    <w:rPr>
      <w:b/>
      <w:color w:val="000080"/>
      <w:sz w:val="22"/>
    </w:rPr>
  </w:style>
  <w:style w:type="paragraph" w:styleId="692">
    <w:name w:val="Body Text"/>
    <w:basedOn w:val="620"/>
    <w:pPr>
      <w:jc w:val="both"/>
    </w:pPr>
    <w:rPr>
      <w:sz w:val="22"/>
    </w:rPr>
  </w:style>
  <w:style w:type="paragraph" w:styleId="693">
    <w:name w:val="List"/>
    <w:basedOn w:val="692"/>
  </w:style>
  <w:style w:type="paragraph" w:styleId="694">
    <w:name w:val="Caption"/>
    <w:basedOn w:val="62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95">
    <w:name w:val="Index"/>
    <w:basedOn w:val="620"/>
    <w:qFormat/>
    <w:pPr>
      <w:suppressLineNumbers/>
    </w:pPr>
  </w:style>
  <w:style w:type="paragraph" w:styleId="696">
    <w:name w:val="Body Text Indent"/>
    <w:basedOn w:val="620"/>
    <w:pPr>
      <w:ind w:firstLine="485"/>
      <w:jc w:val="both"/>
    </w:pPr>
    <w:rPr>
      <w:color w:val="000000"/>
      <w:sz w:val="22"/>
    </w:rPr>
  </w:style>
  <w:style w:type="paragraph" w:styleId="697">
    <w:name w:val="Основной текст 2"/>
    <w:basedOn w:val="620"/>
    <w:qFormat/>
    <w:pPr>
      <w:jc w:val="both"/>
    </w:pPr>
    <w:rPr>
      <w:color w:val="000000"/>
      <w:sz w:val="22"/>
    </w:rPr>
  </w:style>
  <w:style w:type="paragraph" w:styleId="698">
    <w:name w:val="Основной текст 3"/>
    <w:basedOn w:val="620"/>
    <w:qFormat/>
    <w:rPr>
      <w:color w:val="0000ff"/>
      <w:sz w:val="24"/>
    </w:rPr>
  </w:style>
  <w:style w:type="paragraph" w:styleId="699">
    <w:name w:val="Стандартный HTML"/>
    <w:basedOn w:val="620"/>
    <w:qFormat/>
    <w:pPr>
      <w:tabs>
        <w:tab w:val="clear" w:pos="720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</w:rPr>
  </w:style>
  <w:style w:type="paragraph" w:styleId="700">
    <w:name w:val="body"/>
    <w:basedOn w:val="620"/>
    <w:qFormat/>
    <w:pPr>
      <w:jc w:val="both"/>
      <w:spacing w:before="100" w:after="75"/>
    </w:pPr>
    <w:rPr>
      <w:rFonts w:ascii="Arial" w:hAnsi="Arial" w:cs="Arial"/>
      <w:sz w:val="24"/>
      <w:szCs w:val="24"/>
    </w:rPr>
  </w:style>
  <w:style w:type="paragraph" w:styleId="701">
    <w:name w:val="Table Contents"/>
    <w:basedOn w:val="620"/>
    <w:qFormat/>
    <w:pPr>
      <w:widowControl w:val="off"/>
      <w:suppressLineNumbers/>
    </w:pPr>
  </w:style>
  <w:style w:type="paragraph" w:styleId="702">
    <w:name w:val="Table Heading"/>
    <w:basedOn w:val="701"/>
    <w:qFormat/>
    <w:pPr>
      <w:jc w:val="center"/>
      <w:suppressLineNumbers/>
    </w:pPr>
    <w:rPr>
      <w:b/>
      <w:bCs/>
    </w:rPr>
  </w:style>
  <w:style w:type="numbering" w:styleId="703">
    <w:name w:val="WW8Num1"/>
    <w:qFormat/>
  </w:style>
  <w:style w:type="numbering" w:styleId="704">
    <w:name w:val="WW8Num2"/>
    <w:qFormat/>
  </w:style>
  <w:style w:type="numbering" w:styleId="705">
    <w:name w:val="WW8Num3"/>
    <w:qFormat/>
  </w:style>
  <w:style w:type="numbering" w:styleId="706">
    <w:name w:val="WW8Num4"/>
    <w:qFormat/>
  </w:style>
  <w:style w:type="numbering" w:styleId="707">
    <w:name w:val="WW8Num5"/>
    <w:qFormat/>
  </w:style>
  <w:style w:type="numbering" w:styleId="708">
    <w:name w:val="WW8Num6"/>
    <w:qFormat/>
  </w:style>
  <w:style w:type="numbering" w:styleId="709">
    <w:name w:val="WW8Num7"/>
    <w:qFormat/>
  </w:style>
  <w:style w:type="numbering" w:styleId="710">
    <w:name w:val="WW8Num8"/>
    <w:qFormat/>
  </w:style>
  <w:style w:type="numbering" w:styleId="711">
    <w:name w:val="WW8Num9"/>
    <w:qFormat/>
  </w:style>
  <w:style w:type="numbering" w:styleId="712">
    <w:name w:val="WW8Num10"/>
    <w:qFormat/>
  </w:style>
  <w:style w:type="numbering" w:styleId="713">
    <w:name w:val="WW8Num11"/>
    <w:qFormat/>
  </w:style>
  <w:style w:type="numbering" w:styleId="714">
    <w:name w:val="WW8Num12"/>
    <w:qFormat/>
  </w:style>
  <w:style w:type="numbering" w:styleId="715">
    <w:name w:val="WW8Num13"/>
    <w:qFormat/>
  </w:style>
  <w:style w:type="numbering" w:styleId="716">
    <w:name w:val="WW8Num14"/>
    <w:qFormat/>
  </w:style>
  <w:style w:type="numbering" w:styleId="717">
    <w:name w:val="WW8Num15"/>
    <w:qFormat/>
  </w:style>
  <w:style w:type="numbering" w:styleId="718">
    <w:name w:val="WW8Num16"/>
    <w:qFormat/>
  </w:style>
  <w:style w:type="numbering" w:styleId="719">
    <w:name w:val="WW8Num17"/>
    <w:qFormat/>
  </w:style>
  <w:style w:type="numbering" w:styleId="720">
    <w:name w:val="WW8Num18"/>
    <w:qFormat/>
  </w:style>
  <w:style w:type="numbering" w:styleId="721">
    <w:name w:val="WW8Num19"/>
    <w:qFormat/>
  </w:style>
  <w:style w:type="numbering" w:styleId="722">
    <w:name w:val="WW8Num20"/>
    <w:qFormat/>
  </w:style>
  <w:style w:type="numbering" w:styleId="723">
    <w:name w:val="WW8Num21"/>
    <w:qFormat/>
  </w:style>
  <w:style w:type="numbering" w:styleId="724">
    <w:name w:val="WW8Num22"/>
    <w:qFormat/>
  </w:style>
  <w:style w:type="numbering" w:styleId="725">
    <w:name w:val="WW8Num23"/>
    <w:qFormat/>
  </w:style>
  <w:style w:type="numbering" w:styleId="726">
    <w:name w:val="WW8Num24"/>
    <w:qFormat/>
  </w:style>
  <w:style w:type="numbering" w:styleId="727">
    <w:name w:val="WW8Num25"/>
    <w:qFormat/>
  </w:style>
  <w:style w:type="numbering" w:styleId="728">
    <w:name w:val="WW8Num26"/>
    <w:qFormat/>
  </w:style>
  <w:style w:type="numbering" w:styleId="729">
    <w:name w:val="WW8Num27"/>
    <w:qFormat/>
  </w:style>
  <w:style w:type="numbering" w:styleId="730">
    <w:name w:val="WW8Num28"/>
    <w:qFormat/>
  </w:style>
  <w:style w:type="numbering" w:styleId="731">
    <w:name w:val="WW8Num29"/>
    <w:qFormat/>
  </w:style>
  <w:style w:type="numbering" w:styleId="732">
    <w:name w:val="WW8Num30"/>
    <w:qFormat/>
  </w:style>
  <w:style w:type="numbering" w:styleId="733">
    <w:name w:val="WW8Num31"/>
    <w:qFormat/>
  </w:style>
  <w:style w:type="numbering" w:styleId="734">
    <w:name w:val="WW8Num32"/>
    <w:qFormat/>
  </w:style>
  <w:style w:type="numbering" w:styleId="735">
    <w:name w:val="WW8Num33"/>
    <w:qFormat/>
  </w:style>
  <w:style w:type="numbering" w:styleId="736">
    <w:name w:val="WW8Num34"/>
    <w:qFormat/>
  </w:style>
  <w:style w:type="numbering" w:styleId="737">
    <w:name w:val="WW8Num35"/>
    <w:qFormat/>
  </w:style>
  <w:style w:type="numbering" w:styleId="738">
    <w:name w:val="WW8Num36"/>
    <w:qFormat/>
  </w:style>
  <w:style w:type="numbering" w:styleId="739">
    <w:name w:val="WW8Num37"/>
    <w:qFormat/>
  </w:style>
  <w:style w:type="numbering" w:styleId="740">
    <w:name w:val="WW8Num38"/>
    <w:qFormat/>
  </w:style>
  <w:style w:type="numbering" w:styleId="741">
    <w:name w:val="WW8Num39"/>
    <w:qFormat/>
  </w:style>
  <w:style w:type="numbering" w:styleId="742">
    <w:name w:val="WW8Num40"/>
    <w:qFormat/>
  </w:style>
  <w:style w:type="numbering" w:styleId="743">
    <w:name w:val="WW8Num41"/>
    <w:qFormat/>
  </w:style>
  <w:style w:type="numbering" w:styleId="744">
    <w:name w:val="WW8Num42"/>
    <w:qFormat/>
  </w:style>
  <w:style w:type="numbering" w:styleId="745">
    <w:name w:val="WW8Num43"/>
    <w:qFormat/>
  </w:style>
  <w:style w:type="numbering" w:styleId="746">
    <w:name w:val="WW8Num44"/>
    <w:qFormat/>
  </w:style>
  <w:style w:type="numbering" w:styleId="747">
    <w:name w:val="WW8Num45"/>
    <w:qFormat/>
  </w:style>
  <w:style w:type="numbering" w:styleId="748">
    <w:name w:val="WW8Num46"/>
    <w:qFormat/>
  </w:style>
  <w:style w:type="numbering" w:styleId="749">
    <w:name w:val="WW8Num47"/>
    <w:qFormat/>
  </w:style>
  <w:style w:type="numbering" w:styleId="750">
    <w:name w:val="WW8Num48"/>
    <w:qFormat/>
  </w:style>
  <w:style w:type="numbering" w:styleId="751">
    <w:name w:val="WW8Num49"/>
    <w:qFormat/>
  </w:style>
  <w:style w:type="numbering" w:styleId="752">
    <w:name w:val="WW8Num50"/>
    <w:qFormat/>
  </w:style>
  <w:style w:type="character" w:styleId="1682" w:default="1">
    <w:name w:val="Default Paragraph Font"/>
    <w:uiPriority w:val="1"/>
    <w:semiHidden/>
    <w:unhideWhenUsed/>
  </w:style>
  <w:style w:type="numbering" w:styleId="1683" w:default="1">
    <w:name w:val="No List"/>
    <w:uiPriority w:val="99"/>
    <w:semiHidden/>
    <w:unhideWhenUsed/>
  </w:style>
  <w:style w:type="table" w:styleId="16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R7-Office/2024.1.1.375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научно-технической продукции</dc:title>
  <dc:subject/>
  <dc:creator>Гонец</dc:creator>
  <cp:keywords/>
  <dc:description/>
  <dc:language>en-US</dc:language>
  <cp:lastModifiedBy>Диана Гаглоева</cp:lastModifiedBy>
  <cp:revision>18</cp:revision>
  <dcterms:created xsi:type="dcterms:W3CDTF">2017-03-27T10:53:00Z</dcterms:created>
  <dcterms:modified xsi:type="dcterms:W3CDTF">2024-05-31T13:39:23Z</dcterms:modified>
</cp:coreProperties>
</file>